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0C38" w:rsidRDefault="006A660D" w:rsidP="006A660D">
      <w:pPr>
        <w:rPr>
          <w:b/>
          <w:sz w:val="32"/>
          <w:szCs w:val="32"/>
        </w:rPr>
      </w:pPr>
      <w:r w:rsidRPr="00286F94">
        <w:rPr>
          <w:b/>
          <w:noProof/>
          <w:sz w:val="32"/>
          <w:szCs w:val="32"/>
          <w:lang w:eastAsia="en-AU"/>
        </w:rPr>
        <w:drawing>
          <wp:anchor distT="0" distB="0" distL="114300" distR="114300" simplePos="0" relativeHeight="251659264" behindDoc="0" locked="0" layoutInCell="1" allowOverlap="1" wp14:anchorId="054A5AE6" wp14:editId="108DE8F2">
            <wp:simplePos x="0" y="0"/>
            <wp:positionH relativeFrom="column">
              <wp:posOffset>5040630</wp:posOffset>
            </wp:positionH>
            <wp:positionV relativeFrom="paragraph">
              <wp:posOffset>1905</wp:posOffset>
            </wp:positionV>
            <wp:extent cx="1619250" cy="659765"/>
            <wp:effectExtent l="0" t="0" r="0" b="6985"/>
            <wp:wrapSquare wrapText="bothSides"/>
            <wp:docPr id="11" name="Picture 11" descr="C:\Sentinel PW\moat-capital-final\moat-capital-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Sentinel PW\moat-capital-final\moat-capital-final.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9250" cy="659765"/>
                    </a:xfrm>
                    <a:prstGeom prst="rect">
                      <a:avLst/>
                    </a:prstGeom>
                    <a:noFill/>
                    <a:ln>
                      <a:noFill/>
                    </a:ln>
                  </pic:spPr>
                </pic:pic>
              </a:graphicData>
            </a:graphic>
            <wp14:sizeRelH relativeFrom="page">
              <wp14:pctWidth>0</wp14:pctWidth>
            </wp14:sizeRelH>
            <wp14:sizeRelV relativeFrom="page">
              <wp14:pctHeight>0</wp14:pctHeight>
            </wp14:sizeRelV>
          </wp:anchor>
        </w:drawing>
      </w:r>
      <w:r w:rsidR="0003240B">
        <w:rPr>
          <w:b/>
          <w:sz w:val="32"/>
          <w:szCs w:val="32"/>
        </w:rPr>
        <w:t>S&amp;P/ASX 200 – Technical Perspective</w:t>
      </w:r>
      <w:r>
        <w:rPr>
          <w:b/>
          <w:sz w:val="32"/>
          <w:szCs w:val="32"/>
        </w:rPr>
        <w:t xml:space="preserve"> </w:t>
      </w:r>
    </w:p>
    <w:p w:rsidR="006A660D" w:rsidRPr="00F70003" w:rsidRDefault="00784763" w:rsidP="006A660D">
      <w:pPr>
        <w:rPr>
          <w:b/>
          <w:sz w:val="32"/>
          <w:szCs w:val="32"/>
        </w:rPr>
      </w:pPr>
      <w:r>
        <w:rPr>
          <w:sz w:val="20"/>
          <w:szCs w:val="20"/>
        </w:rPr>
        <w:t>26</w:t>
      </w:r>
      <w:r w:rsidRPr="00784763">
        <w:rPr>
          <w:sz w:val="20"/>
          <w:szCs w:val="20"/>
          <w:vertAlign w:val="superscript"/>
        </w:rPr>
        <w:t>th</w:t>
      </w:r>
      <w:r>
        <w:rPr>
          <w:sz w:val="20"/>
          <w:szCs w:val="20"/>
        </w:rPr>
        <w:t xml:space="preserve"> August 2017</w:t>
      </w:r>
    </w:p>
    <w:p w:rsidR="006A660D" w:rsidRDefault="006A660D" w:rsidP="006A660D">
      <w:pPr>
        <w:rPr>
          <w:sz w:val="20"/>
          <w:szCs w:val="20"/>
        </w:rPr>
      </w:pPr>
      <w:r>
        <w:rPr>
          <w:sz w:val="20"/>
          <w:szCs w:val="20"/>
        </w:rPr>
        <w:t xml:space="preserve">By Craig Parker </w:t>
      </w:r>
      <w:r w:rsidR="00CA3640">
        <w:rPr>
          <w:sz w:val="20"/>
          <w:szCs w:val="20"/>
        </w:rPr>
        <w:t>Private Client Adviser and Senior Technical Analyst</w:t>
      </w:r>
    </w:p>
    <w:p w:rsidR="006A660D" w:rsidRPr="002D5BD0" w:rsidRDefault="006A660D" w:rsidP="006A660D">
      <w:pPr>
        <w:rPr>
          <w:sz w:val="20"/>
          <w:szCs w:val="20"/>
        </w:rPr>
      </w:pPr>
      <w:r>
        <w:rPr>
          <w:sz w:val="20"/>
          <w:szCs w:val="20"/>
        </w:rPr>
        <w:t>Authorised Representative Sentinel Private Wealth AFSL 344762</w:t>
      </w:r>
    </w:p>
    <w:p w:rsidR="003830A6" w:rsidRDefault="003830A6" w:rsidP="0038032C"/>
    <w:p w:rsidR="00EA786B" w:rsidRDefault="00EA786B" w:rsidP="00626B47">
      <w:pPr>
        <w:pStyle w:val="Footer"/>
        <w:jc w:val="both"/>
        <w:rPr>
          <w:rFonts w:cs="Arial"/>
          <w:b/>
          <w:color w:val="auto"/>
          <w:szCs w:val="20"/>
        </w:rPr>
      </w:pPr>
    </w:p>
    <w:p w:rsidR="00A212FD" w:rsidRPr="00A4447C" w:rsidRDefault="00A4447C" w:rsidP="00626B47">
      <w:pPr>
        <w:pStyle w:val="Footer"/>
        <w:jc w:val="both"/>
        <w:rPr>
          <w:rFonts w:cs="Arial"/>
          <w:color w:val="auto"/>
          <w:szCs w:val="20"/>
        </w:rPr>
      </w:pPr>
      <w:r>
        <w:rPr>
          <w:rFonts w:cs="Arial"/>
          <w:color w:val="auto"/>
          <w:szCs w:val="20"/>
        </w:rPr>
        <w:t>I know this report is focused on the S&amp;P/ASX 200 however Friday was a big day for the Chinese market</w:t>
      </w:r>
      <w:r w:rsidR="00886D83">
        <w:rPr>
          <w:rFonts w:cs="Arial"/>
          <w:color w:val="auto"/>
          <w:szCs w:val="20"/>
        </w:rPr>
        <w:t xml:space="preserve"> (Shanghai composite below)</w:t>
      </w:r>
      <w:r>
        <w:rPr>
          <w:rFonts w:cs="Arial"/>
          <w:color w:val="auto"/>
          <w:szCs w:val="20"/>
        </w:rPr>
        <w:t xml:space="preserve"> breaking a long</w:t>
      </w:r>
      <w:r w:rsidR="00274E97">
        <w:rPr>
          <w:rFonts w:cs="Arial"/>
          <w:color w:val="auto"/>
          <w:szCs w:val="20"/>
        </w:rPr>
        <w:t>-</w:t>
      </w:r>
      <w:r>
        <w:rPr>
          <w:rFonts w:cs="Arial"/>
          <w:color w:val="auto"/>
          <w:szCs w:val="20"/>
        </w:rPr>
        <w:t>term resistance level with some strength behind the move. Let</w:t>
      </w:r>
      <w:r w:rsidR="004D5A6E">
        <w:rPr>
          <w:rFonts w:cs="Arial"/>
          <w:color w:val="auto"/>
          <w:szCs w:val="20"/>
        </w:rPr>
        <w:t>’</w:t>
      </w:r>
      <w:r>
        <w:rPr>
          <w:rFonts w:cs="Arial"/>
          <w:color w:val="auto"/>
          <w:szCs w:val="20"/>
        </w:rPr>
        <w:t>s hope this can help propel our market on in the coming weeks, especially since we have been experiencing some very tepid GDP results and the credit growth outlook isn’t looking great at all</w:t>
      </w:r>
      <w:r w:rsidR="002579FC">
        <w:rPr>
          <w:rFonts w:cs="Arial"/>
          <w:color w:val="auto"/>
          <w:szCs w:val="20"/>
        </w:rPr>
        <w:t xml:space="preserve">, </w:t>
      </w:r>
      <w:r>
        <w:rPr>
          <w:rFonts w:cs="Arial"/>
          <w:color w:val="auto"/>
          <w:szCs w:val="20"/>
        </w:rPr>
        <w:t>hence our financials</w:t>
      </w:r>
      <w:r w:rsidR="004D5A6E">
        <w:rPr>
          <w:rFonts w:cs="Arial"/>
          <w:color w:val="auto"/>
          <w:szCs w:val="20"/>
        </w:rPr>
        <w:t>’</w:t>
      </w:r>
      <w:r>
        <w:rPr>
          <w:rFonts w:cs="Arial"/>
          <w:color w:val="auto"/>
          <w:szCs w:val="20"/>
        </w:rPr>
        <w:t xml:space="preserve"> sector is suffering. Time for politicians to toughen up and take some bold moves in diversifying our economy and subsequently the share market lest</w:t>
      </w:r>
      <w:r w:rsidR="0093334D">
        <w:rPr>
          <w:rFonts w:cs="Arial"/>
          <w:color w:val="auto"/>
          <w:szCs w:val="20"/>
        </w:rPr>
        <w:t>,</w:t>
      </w:r>
      <w:r>
        <w:rPr>
          <w:rFonts w:cs="Arial"/>
          <w:color w:val="auto"/>
          <w:szCs w:val="20"/>
        </w:rPr>
        <w:t xml:space="preserve"> share investors want to see zero growth for years to come.</w:t>
      </w:r>
      <w:r w:rsidR="00C559CF">
        <w:rPr>
          <w:rFonts w:cs="Arial"/>
          <w:color w:val="auto"/>
          <w:szCs w:val="20"/>
        </w:rPr>
        <w:t xml:space="preserve"> </w:t>
      </w:r>
      <w:r w:rsidR="0093334D">
        <w:rPr>
          <w:rFonts w:cs="Arial"/>
          <w:color w:val="auto"/>
          <w:szCs w:val="20"/>
        </w:rPr>
        <w:t>Looking at our financials</w:t>
      </w:r>
      <w:r w:rsidR="004D5A6E">
        <w:rPr>
          <w:rFonts w:cs="Arial"/>
          <w:color w:val="auto"/>
          <w:szCs w:val="20"/>
        </w:rPr>
        <w:t>’</w:t>
      </w:r>
      <w:r w:rsidR="0093334D">
        <w:rPr>
          <w:rFonts w:cs="Arial"/>
          <w:color w:val="auto"/>
          <w:szCs w:val="20"/>
        </w:rPr>
        <w:t xml:space="preserve"> sector </w:t>
      </w:r>
      <w:r w:rsidR="0039579A">
        <w:rPr>
          <w:rFonts w:cs="Arial"/>
          <w:color w:val="auto"/>
          <w:szCs w:val="20"/>
        </w:rPr>
        <w:t xml:space="preserve">chart you can see the similarities </w:t>
      </w:r>
      <w:r w:rsidR="002579FC">
        <w:rPr>
          <w:rFonts w:cs="Arial"/>
          <w:color w:val="auto"/>
          <w:szCs w:val="20"/>
        </w:rPr>
        <w:t xml:space="preserve">with the S&amp;P/ASX 200 in the </w:t>
      </w:r>
      <w:r w:rsidR="0039579A">
        <w:rPr>
          <w:rFonts w:cs="Arial"/>
          <w:color w:val="auto"/>
          <w:szCs w:val="20"/>
        </w:rPr>
        <w:t>chart</w:t>
      </w:r>
      <w:r w:rsidR="002579FC">
        <w:rPr>
          <w:rFonts w:cs="Arial"/>
          <w:color w:val="auto"/>
          <w:szCs w:val="20"/>
        </w:rPr>
        <w:t xml:space="preserve"> patterns which isn’t a great sign for the </w:t>
      </w:r>
      <w:r w:rsidR="00B5030B">
        <w:rPr>
          <w:rFonts w:cs="Arial"/>
          <w:color w:val="auto"/>
          <w:szCs w:val="20"/>
        </w:rPr>
        <w:t xml:space="preserve">future of our </w:t>
      </w:r>
      <w:r w:rsidR="002579FC">
        <w:rPr>
          <w:rFonts w:cs="Arial"/>
          <w:color w:val="auto"/>
          <w:szCs w:val="20"/>
        </w:rPr>
        <w:t>overall market. Might have to look at other sectors with the small ordinaries chart experiencing a breakout with the Chinese share market on Friday as can be seen below.</w:t>
      </w:r>
      <w:r w:rsidR="003F3B2C">
        <w:rPr>
          <w:rFonts w:cs="Arial"/>
          <w:color w:val="auto"/>
          <w:szCs w:val="20"/>
        </w:rPr>
        <w:t xml:space="preserve"> </w:t>
      </w:r>
      <w:r w:rsidR="002E60A4">
        <w:rPr>
          <w:rFonts w:cs="Arial"/>
          <w:color w:val="auto"/>
          <w:szCs w:val="20"/>
        </w:rPr>
        <w:t xml:space="preserve">Our energy sector also had a good week as can be seen in the chart below although this sector will be volatile </w:t>
      </w:r>
      <w:r w:rsidR="00DD5132">
        <w:rPr>
          <w:rFonts w:cs="Arial"/>
          <w:color w:val="auto"/>
          <w:szCs w:val="20"/>
        </w:rPr>
        <w:t xml:space="preserve">over the medium to long term </w:t>
      </w:r>
      <w:r w:rsidR="002E60A4">
        <w:rPr>
          <w:rFonts w:cs="Arial"/>
          <w:color w:val="auto"/>
          <w:szCs w:val="20"/>
        </w:rPr>
        <w:t>with the price of oil fluctuating between the 55 and 4</w:t>
      </w:r>
      <w:r w:rsidR="004D5A6E">
        <w:rPr>
          <w:rFonts w:cs="Arial"/>
          <w:color w:val="auto"/>
          <w:szCs w:val="20"/>
        </w:rPr>
        <w:t>0</w:t>
      </w:r>
      <w:r w:rsidR="002E60A4">
        <w:rPr>
          <w:rFonts w:cs="Arial"/>
          <w:color w:val="auto"/>
          <w:szCs w:val="20"/>
        </w:rPr>
        <w:t xml:space="preserve"> levels and the </w:t>
      </w:r>
      <w:r w:rsidR="004D5A6E">
        <w:rPr>
          <w:rFonts w:cs="Arial"/>
          <w:color w:val="auto"/>
          <w:szCs w:val="20"/>
        </w:rPr>
        <w:t>long-</w:t>
      </w:r>
      <w:r w:rsidR="00BF496C">
        <w:rPr>
          <w:rFonts w:cs="Arial"/>
          <w:color w:val="auto"/>
          <w:szCs w:val="20"/>
        </w:rPr>
        <w:t xml:space="preserve">term </w:t>
      </w:r>
      <w:r w:rsidR="002E60A4">
        <w:rPr>
          <w:rFonts w:cs="Arial"/>
          <w:color w:val="auto"/>
          <w:szCs w:val="20"/>
        </w:rPr>
        <w:t xml:space="preserve">future not looking great for the conventional </w:t>
      </w:r>
      <w:r w:rsidR="00BF496C">
        <w:rPr>
          <w:rFonts w:cs="Arial"/>
          <w:color w:val="auto"/>
          <w:szCs w:val="20"/>
        </w:rPr>
        <w:t xml:space="preserve">fossil fuel </w:t>
      </w:r>
      <w:r w:rsidR="002E60A4">
        <w:rPr>
          <w:rFonts w:cs="Arial"/>
          <w:color w:val="auto"/>
          <w:szCs w:val="20"/>
        </w:rPr>
        <w:t xml:space="preserve">energy companies with higher use of electrification of vehicles and </w:t>
      </w:r>
      <w:r w:rsidR="00BF496C">
        <w:rPr>
          <w:rFonts w:cs="Arial"/>
          <w:color w:val="auto"/>
          <w:szCs w:val="20"/>
        </w:rPr>
        <w:t xml:space="preserve">increasing </w:t>
      </w:r>
      <w:r w:rsidR="002E60A4">
        <w:rPr>
          <w:rFonts w:cs="Arial"/>
          <w:color w:val="auto"/>
          <w:szCs w:val="20"/>
        </w:rPr>
        <w:t xml:space="preserve">renewable energy production. Any companies and governments </w:t>
      </w:r>
      <w:r w:rsidR="00BF496C">
        <w:rPr>
          <w:rFonts w:cs="Arial"/>
          <w:color w:val="auto"/>
          <w:szCs w:val="20"/>
        </w:rPr>
        <w:t xml:space="preserve">that </w:t>
      </w:r>
      <w:r w:rsidR="002E60A4">
        <w:rPr>
          <w:rFonts w:cs="Arial"/>
          <w:color w:val="auto"/>
          <w:szCs w:val="20"/>
        </w:rPr>
        <w:t>think</w:t>
      </w:r>
      <w:r w:rsidR="00BF496C">
        <w:rPr>
          <w:rFonts w:cs="Arial"/>
          <w:color w:val="auto"/>
          <w:szCs w:val="20"/>
        </w:rPr>
        <w:t xml:space="preserve"> </w:t>
      </w:r>
      <w:r w:rsidR="002E60A4">
        <w:rPr>
          <w:rFonts w:cs="Arial"/>
          <w:color w:val="auto"/>
          <w:szCs w:val="20"/>
        </w:rPr>
        <w:t xml:space="preserve">the future is clean coal are </w:t>
      </w:r>
      <w:r w:rsidR="00D60862">
        <w:rPr>
          <w:rFonts w:cs="Arial"/>
          <w:color w:val="auto"/>
          <w:szCs w:val="20"/>
        </w:rPr>
        <w:t>misguided to say the least</w:t>
      </w:r>
      <w:r w:rsidR="002E60A4">
        <w:rPr>
          <w:rFonts w:cs="Arial"/>
          <w:color w:val="auto"/>
          <w:szCs w:val="20"/>
        </w:rPr>
        <w:t xml:space="preserve">. The crackpot award for the week would go to Trump with his idea of clean coal </w:t>
      </w:r>
      <w:r w:rsidR="005A1F69">
        <w:rPr>
          <w:rFonts w:cs="Arial"/>
          <w:color w:val="auto"/>
          <w:szCs w:val="20"/>
        </w:rPr>
        <w:t xml:space="preserve">being </w:t>
      </w:r>
      <w:r w:rsidR="002E60A4">
        <w:rPr>
          <w:rFonts w:cs="Arial"/>
          <w:color w:val="auto"/>
          <w:szCs w:val="20"/>
        </w:rPr>
        <w:t>extracting it out of the ground and giving it a bit of a wash</w:t>
      </w:r>
      <w:r w:rsidR="005A1F69">
        <w:rPr>
          <w:rFonts w:cs="Arial"/>
          <w:color w:val="auto"/>
          <w:szCs w:val="20"/>
        </w:rPr>
        <w:t xml:space="preserve"> with the hose</w:t>
      </w:r>
      <w:r w:rsidR="002E60A4">
        <w:rPr>
          <w:rFonts w:cs="Arial"/>
          <w:color w:val="auto"/>
          <w:szCs w:val="20"/>
        </w:rPr>
        <w:t xml:space="preserve">. Even if they do find the technology to somehow clean what is dirty the net energy output will be offset by the energy </w:t>
      </w:r>
      <w:r w:rsidR="00D60862">
        <w:rPr>
          <w:rFonts w:cs="Arial"/>
          <w:color w:val="auto"/>
          <w:szCs w:val="20"/>
        </w:rPr>
        <w:t xml:space="preserve">required </w:t>
      </w:r>
      <w:r w:rsidR="002E60A4">
        <w:rPr>
          <w:rFonts w:cs="Arial"/>
          <w:color w:val="auto"/>
          <w:szCs w:val="20"/>
        </w:rPr>
        <w:t xml:space="preserve">to clean it. Waste of time and money and this </w:t>
      </w:r>
      <w:r w:rsidR="005A1F69">
        <w:rPr>
          <w:rFonts w:cs="Arial"/>
          <w:color w:val="auto"/>
          <w:szCs w:val="20"/>
        </w:rPr>
        <w:t xml:space="preserve">along with our lessening reliance on oil </w:t>
      </w:r>
      <w:r w:rsidR="002E60A4">
        <w:rPr>
          <w:rFonts w:cs="Arial"/>
          <w:color w:val="auto"/>
          <w:szCs w:val="20"/>
        </w:rPr>
        <w:t xml:space="preserve">will cause great volatility in the energy sector for years to come. </w:t>
      </w:r>
      <w:r w:rsidR="00DF122F">
        <w:rPr>
          <w:rFonts w:cs="Arial"/>
          <w:color w:val="auto"/>
          <w:szCs w:val="20"/>
        </w:rPr>
        <w:t xml:space="preserve">Back to our </w:t>
      </w:r>
      <w:r w:rsidR="003F3B2C">
        <w:rPr>
          <w:rFonts w:cs="Arial"/>
          <w:color w:val="auto"/>
          <w:szCs w:val="20"/>
        </w:rPr>
        <w:t xml:space="preserve">S&amp;P/ASX 200 </w:t>
      </w:r>
      <w:r w:rsidR="00DF122F">
        <w:rPr>
          <w:rFonts w:cs="Arial"/>
          <w:color w:val="auto"/>
          <w:szCs w:val="20"/>
        </w:rPr>
        <w:t xml:space="preserve">and for our </w:t>
      </w:r>
      <w:bookmarkStart w:id="0" w:name="_GoBack"/>
      <w:bookmarkEnd w:id="0"/>
      <w:r w:rsidR="00DF122F">
        <w:rPr>
          <w:rFonts w:cs="Arial"/>
          <w:color w:val="auto"/>
          <w:szCs w:val="20"/>
        </w:rPr>
        <w:t xml:space="preserve">market </w:t>
      </w:r>
      <w:r w:rsidR="003F3B2C">
        <w:rPr>
          <w:rFonts w:cs="Arial"/>
          <w:color w:val="auto"/>
          <w:szCs w:val="20"/>
        </w:rPr>
        <w:t>to gain any upward momentum the financials</w:t>
      </w:r>
      <w:r w:rsidR="00D60862">
        <w:rPr>
          <w:rFonts w:cs="Arial"/>
          <w:color w:val="auto"/>
          <w:szCs w:val="20"/>
        </w:rPr>
        <w:t>’</w:t>
      </w:r>
      <w:r w:rsidR="003F3B2C">
        <w:rPr>
          <w:rFonts w:cs="Arial"/>
          <w:color w:val="auto"/>
          <w:szCs w:val="20"/>
        </w:rPr>
        <w:t xml:space="preserve"> sector is going to have to have a change in momentum which could be a struggle considering it is trying to consolidate its medium</w:t>
      </w:r>
      <w:r w:rsidR="004D5A6E">
        <w:rPr>
          <w:rFonts w:cs="Arial"/>
          <w:color w:val="auto"/>
          <w:szCs w:val="20"/>
        </w:rPr>
        <w:t>-</w:t>
      </w:r>
      <w:r w:rsidR="003F3B2C">
        <w:rPr>
          <w:rFonts w:cs="Arial"/>
          <w:color w:val="auto"/>
          <w:szCs w:val="20"/>
        </w:rPr>
        <w:t xml:space="preserve">term downtrend. All in all, not a great </w:t>
      </w:r>
      <w:r w:rsidR="00D60862">
        <w:rPr>
          <w:rFonts w:cs="Arial"/>
          <w:color w:val="auto"/>
          <w:szCs w:val="20"/>
        </w:rPr>
        <w:t>out</w:t>
      </w:r>
      <w:r w:rsidR="003F3B2C">
        <w:rPr>
          <w:rFonts w:cs="Arial"/>
          <w:color w:val="auto"/>
          <w:szCs w:val="20"/>
        </w:rPr>
        <w:t>look for our overall market</w:t>
      </w:r>
      <w:r w:rsidR="00D60862">
        <w:rPr>
          <w:rFonts w:cs="Arial"/>
          <w:color w:val="auto"/>
          <w:szCs w:val="20"/>
        </w:rPr>
        <w:t xml:space="preserve"> but some light could be shining on </w:t>
      </w:r>
      <w:r w:rsidR="003F3B2C">
        <w:rPr>
          <w:rFonts w:cs="Arial"/>
          <w:color w:val="auto"/>
          <w:szCs w:val="20"/>
        </w:rPr>
        <w:t xml:space="preserve">the small ordinaries space considering their exposure to the Chinese market and </w:t>
      </w:r>
      <w:r w:rsidR="00D60862">
        <w:rPr>
          <w:rFonts w:cs="Arial"/>
          <w:color w:val="auto"/>
          <w:szCs w:val="20"/>
        </w:rPr>
        <w:t xml:space="preserve">the fact that it is easier for a quality small </w:t>
      </w:r>
      <w:r w:rsidR="003F3B2C">
        <w:rPr>
          <w:rFonts w:cs="Arial"/>
          <w:color w:val="auto"/>
          <w:szCs w:val="20"/>
        </w:rPr>
        <w:t>cap</w:t>
      </w:r>
      <w:r w:rsidR="00D60862">
        <w:rPr>
          <w:rFonts w:cs="Arial"/>
          <w:color w:val="auto"/>
          <w:szCs w:val="20"/>
        </w:rPr>
        <w:t xml:space="preserve"> </w:t>
      </w:r>
      <w:r w:rsidR="003F3B2C">
        <w:rPr>
          <w:rFonts w:cs="Arial"/>
          <w:color w:val="auto"/>
          <w:szCs w:val="20"/>
        </w:rPr>
        <w:t xml:space="preserve">to grow </w:t>
      </w:r>
      <w:r w:rsidR="00D60862">
        <w:rPr>
          <w:rFonts w:cs="Arial"/>
          <w:color w:val="auto"/>
          <w:szCs w:val="20"/>
        </w:rPr>
        <w:t xml:space="preserve">revenue. </w:t>
      </w:r>
      <w:r w:rsidR="003F3B2C">
        <w:rPr>
          <w:rFonts w:cs="Arial"/>
          <w:color w:val="auto"/>
          <w:szCs w:val="20"/>
        </w:rPr>
        <w:t>Naturally, care needs to be taken as the small caps sector is also fraught with danger if you get your picks wrong.</w:t>
      </w:r>
    </w:p>
    <w:p w:rsidR="00A212FD" w:rsidRDefault="00A212FD" w:rsidP="00626B47">
      <w:pPr>
        <w:pStyle w:val="Footer"/>
        <w:jc w:val="both"/>
        <w:rPr>
          <w:rFonts w:cs="Arial"/>
          <w:b/>
          <w:color w:val="auto"/>
          <w:szCs w:val="20"/>
        </w:rPr>
      </w:pPr>
    </w:p>
    <w:p w:rsidR="006905AB" w:rsidRDefault="006905AB" w:rsidP="00626B47">
      <w:pPr>
        <w:pStyle w:val="Footer"/>
        <w:jc w:val="both"/>
        <w:rPr>
          <w:rFonts w:cs="Arial"/>
          <w:b/>
          <w:color w:val="auto"/>
          <w:szCs w:val="20"/>
        </w:rPr>
        <w:sectPr w:rsidR="006905AB" w:rsidSect="0003240B">
          <w:type w:val="continuous"/>
          <w:pgSz w:w="11906" w:h="16838"/>
          <w:pgMar w:top="567" w:right="1134" w:bottom="567" w:left="1077" w:header="709" w:footer="709" w:gutter="0"/>
          <w:cols w:space="709"/>
          <w:titlePg/>
          <w:docGrid w:linePitch="360"/>
        </w:sectPr>
      </w:pPr>
    </w:p>
    <w:p w:rsidR="00A212FD" w:rsidRDefault="00A212FD" w:rsidP="00626B47">
      <w:pPr>
        <w:pStyle w:val="Footer"/>
        <w:jc w:val="both"/>
        <w:rPr>
          <w:rFonts w:cs="Arial"/>
          <w:b/>
          <w:color w:val="auto"/>
          <w:szCs w:val="20"/>
        </w:rPr>
      </w:pPr>
    </w:p>
    <w:p w:rsidR="00DE7999" w:rsidRDefault="00DE7999" w:rsidP="00DE7999">
      <w:pPr>
        <w:pStyle w:val="Footer"/>
        <w:jc w:val="both"/>
        <w:rPr>
          <w:rFonts w:cs="Arial"/>
          <w:b/>
          <w:color w:val="auto"/>
          <w:szCs w:val="20"/>
        </w:rPr>
      </w:pPr>
      <w:r>
        <w:rPr>
          <w:rFonts w:cs="Arial"/>
          <w:b/>
          <w:color w:val="auto"/>
          <w:szCs w:val="20"/>
        </w:rPr>
        <w:t>S&amp;P/ASX 200 – Weekly</w:t>
      </w:r>
      <w:r w:rsidRPr="00DE7999">
        <w:rPr>
          <w:rFonts w:cs="Arial"/>
          <w:b/>
          <w:color w:val="auto"/>
          <w:szCs w:val="20"/>
        </w:rPr>
        <w:t xml:space="preserve"> </w:t>
      </w:r>
    </w:p>
    <w:p w:rsidR="0093334D" w:rsidRDefault="0093334D" w:rsidP="00DE7999">
      <w:pPr>
        <w:pStyle w:val="Footer"/>
        <w:jc w:val="both"/>
        <w:rPr>
          <w:rFonts w:cs="Arial"/>
          <w:b/>
          <w:color w:val="auto"/>
          <w:szCs w:val="20"/>
        </w:rPr>
      </w:pPr>
      <w:r>
        <w:rPr>
          <w:noProof/>
        </w:rPr>
        <w:drawing>
          <wp:inline distT="0" distB="0" distL="0" distR="0" wp14:anchorId="7DE60D52" wp14:editId="63D4AC72">
            <wp:extent cx="6156325" cy="2997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156325" cy="2997200"/>
                    </a:xfrm>
                    <a:prstGeom prst="rect">
                      <a:avLst/>
                    </a:prstGeom>
                  </pic:spPr>
                </pic:pic>
              </a:graphicData>
            </a:graphic>
          </wp:inline>
        </w:drawing>
      </w:r>
    </w:p>
    <w:p w:rsidR="002579FC" w:rsidRDefault="002579FC" w:rsidP="00DE7999">
      <w:pPr>
        <w:pStyle w:val="Footer"/>
        <w:jc w:val="both"/>
        <w:rPr>
          <w:rFonts w:cs="Arial"/>
          <w:b/>
          <w:color w:val="auto"/>
          <w:szCs w:val="20"/>
        </w:rPr>
      </w:pPr>
    </w:p>
    <w:p w:rsidR="008F6797" w:rsidRDefault="008F6797" w:rsidP="00DE7999">
      <w:pPr>
        <w:pStyle w:val="Footer"/>
        <w:jc w:val="both"/>
        <w:rPr>
          <w:rFonts w:cs="Arial"/>
          <w:b/>
          <w:color w:val="auto"/>
          <w:szCs w:val="20"/>
        </w:rPr>
      </w:pPr>
      <w:r>
        <w:rPr>
          <w:rFonts w:cs="Arial"/>
          <w:b/>
          <w:color w:val="auto"/>
          <w:szCs w:val="20"/>
        </w:rPr>
        <w:t xml:space="preserve">Financials Sector ex REIT’s </w:t>
      </w:r>
      <w:r w:rsidR="00CA6E7D">
        <w:rPr>
          <w:rFonts w:cs="Arial"/>
          <w:b/>
          <w:color w:val="auto"/>
          <w:szCs w:val="20"/>
        </w:rPr>
        <w:t>–</w:t>
      </w:r>
      <w:r>
        <w:rPr>
          <w:rFonts w:cs="Arial"/>
          <w:b/>
          <w:color w:val="auto"/>
          <w:szCs w:val="20"/>
        </w:rPr>
        <w:t xml:space="preserve"> Weekly</w:t>
      </w:r>
    </w:p>
    <w:p w:rsidR="0093334D" w:rsidRDefault="0093334D" w:rsidP="00DE7999">
      <w:pPr>
        <w:pStyle w:val="Footer"/>
        <w:jc w:val="both"/>
        <w:rPr>
          <w:rFonts w:cs="Arial"/>
          <w:b/>
          <w:color w:val="auto"/>
          <w:szCs w:val="20"/>
        </w:rPr>
      </w:pPr>
      <w:r>
        <w:rPr>
          <w:noProof/>
        </w:rPr>
        <w:lastRenderedPageBreak/>
        <w:drawing>
          <wp:inline distT="0" distB="0" distL="0" distR="0" wp14:anchorId="28643DB9" wp14:editId="3CE8875A">
            <wp:extent cx="6156325" cy="2997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156325" cy="2997200"/>
                    </a:xfrm>
                    <a:prstGeom prst="rect">
                      <a:avLst/>
                    </a:prstGeom>
                  </pic:spPr>
                </pic:pic>
              </a:graphicData>
            </a:graphic>
          </wp:inline>
        </w:drawing>
      </w:r>
    </w:p>
    <w:p w:rsidR="0093334D" w:rsidRDefault="0093334D" w:rsidP="00DE7999">
      <w:pPr>
        <w:pStyle w:val="Footer"/>
        <w:jc w:val="both"/>
        <w:rPr>
          <w:rFonts w:cs="Arial"/>
          <w:b/>
          <w:color w:val="auto"/>
          <w:szCs w:val="20"/>
        </w:rPr>
      </w:pPr>
    </w:p>
    <w:p w:rsidR="002579FC" w:rsidRDefault="002579FC" w:rsidP="00DE7999">
      <w:pPr>
        <w:pStyle w:val="Footer"/>
        <w:jc w:val="both"/>
        <w:rPr>
          <w:rFonts w:cs="Arial"/>
          <w:b/>
          <w:color w:val="auto"/>
          <w:szCs w:val="20"/>
        </w:rPr>
      </w:pPr>
      <w:r>
        <w:rPr>
          <w:rFonts w:cs="Arial"/>
          <w:b/>
          <w:color w:val="auto"/>
          <w:szCs w:val="20"/>
        </w:rPr>
        <w:t>S&amp;P/ASX Small Ord’s - Weekly</w:t>
      </w:r>
    </w:p>
    <w:p w:rsidR="002579FC" w:rsidRDefault="002579FC" w:rsidP="00DE7999">
      <w:pPr>
        <w:pStyle w:val="Footer"/>
        <w:jc w:val="both"/>
        <w:rPr>
          <w:rFonts w:cs="Arial"/>
          <w:b/>
          <w:color w:val="auto"/>
          <w:szCs w:val="20"/>
        </w:rPr>
      </w:pPr>
      <w:r>
        <w:rPr>
          <w:noProof/>
        </w:rPr>
        <w:drawing>
          <wp:inline distT="0" distB="0" distL="0" distR="0" wp14:anchorId="12A6A244" wp14:editId="1BEC905A">
            <wp:extent cx="6156325" cy="2997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156325" cy="2997200"/>
                    </a:xfrm>
                    <a:prstGeom prst="rect">
                      <a:avLst/>
                    </a:prstGeom>
                  </pic:spPr>
                </pic:pic>
              </a:graphicData>
            </a:graphic>
          </wp:inline>
        </w:drawing>
      </w:r>
    </w:p>
    <w:p w:rsidR="002E60A4" w:rsidRDefault="002E60A4" w:rsidP="00DE7999">
      <w:pPr>
        <w:pStyle w:val="Footer"/>
        <w:jc w:val="both"/>
        <w:rPr>
          <w:rFonts w:cs="Arial"/>
          <w:b/>
          <w:color w:val="auto"/>
          <w:szCs w:val="20"/>
        </w:rPr>
      </w:pPr>
    </w:p>
    <w:p w:rsidR="002E60A4" w:rsidRDefault="002E60A4" w:rsidP="00DE7999">
      <w:pPr>
        <w:pStyle w:val="Footer"/>
        <w:jc w:val="both"/>
        <w:rPr>
          <w:rFonts w:cs="Arial"/>
          <w:b/>
          <w:color w:val="auto"/>
          <w:szCs w:val="20"/>
        </w:rPr>
      </w:pPr>
      <w:bookmarkStart w:id="1" w:name="_Hlk491514364"/>
      <w:r>
        <w:rPr>
          <w:rFonts w:cs="Arial"/>
          <w:b/>
          <w:color w:val="auto"/>
          <w:szCs w:val="20"/>
        </w:rPr>
        <w:t>XJO Energy - Weekly</w:t>
      </w:r>
    </w:p>
    <w:bookmarkEnd w:id="1"/>
    <w:p w:rsidR="002E60A4" w:rsidRDefault="002E60A4" w:rsidP="00DE7999">
      <w:pPr>
        <w:pStyle w:val="Footer"/>
        <w:jc w:val="both"/>
        <w:rPr>
          <w:rFonts w:cs="Arial"/>
          <w:b/>
          <w:color w:val="auto"/>
          <w:szCs w:val="20"/>
        </w:rPr>
      </w:pPr>
      <w:r>
        <w:rPr>
          <w:noProof/>
        </w:rPr>
        <w:drawing>
          <wp:inline distT="0" distB="0" distL="0" distR="0" wp14:anchorId="021EDF7E" wp14:editId="45FF8A15">
            <wp:extent cx="6156325" cy="2997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156325" cy="2997200"/>
                    </a:xfrm>
                    <a:prstGeom prst="rect">
                      <a:avLst/>
                    </a:prstGeom>
                  </pic:spPr>
                </pic:pic>
              </a:graphicData>
            </a:graphic>
          </wp:inline>
        </w:drawing>
      </w:r>
    </w:p>
    <w:p w:rsidR="002E60A4" w:rsidRDefault="002E60A4" w:rsidP="00DE7999">
      <w:pPr>
        <w:pStyle w:val="Footer"/>
        <w:jc w:val="both"/>
        <w:rPr>
          <w:rFonts w:cs="Arial"/>
          <w:b/>
          <w:color w:val="auto"/>
          <w:szCs w:val="20"/>
        </w:rPr>
      </w:pPr>
    </w:p>
    <w:p w:rsidR="00ED44D4" w:rsidRDefault="00ED44D4" w:rsidP="00DE7999">
      <w:pPr>
        <w:pStyle w:val="Footer"/>
        <w:jc w:val="both"/>
        <w:rPr>
          <w:rFonts w:cs="Arial"/>
          <w:b/>
          <w:color w:val="auto"/>
          <w:szCs w:val="20"/>
        </w:rPr>
      </w:pPr>
      <w:r>
        <w:rPr>
          <w:rFonts w:cs="Arial"/>
          <w:b/>
          <w:color w:val="auto"/>
          <w:szCs w:val="20"/>
        </w:rPr>
        <w:lastRenderedPageBreak/>
        <w:t xml:space="preserve">Shanghai Composite </w:t>
      </w:r>
      <w:r w:rsidR="00A4447C">
        <w:rPr>
          <w:rFonts w:cs="Arial"/>
          <w:b/>
          <w:color w:val="auto"/>
          <w:szCs w:val="20"/>
        </w:rPr>
        <w:t>–</w:t>
      </w:r>
      <w:r>
        <w:rPr>
          <w:rFonts w:cs="Arial"/>
          <w:b/>
          <w:color w:val="auto"/>
          <w:szCs w:val="20"/>
        </w:rPr>
        <w:t xml:space="preserve"> </w:t>
      </w:r>
      <w:r w:rsidR="00C559CF">
        <w:rPr>
          <w:rFonts w:cs="Arial"/>
          <w:b/>
          <w:color w:val="auto"/>
          <w:szCs w:val="20"/>
        </w:rPr>
        <w:t xml:space="preserve">Daily </w:t>
      </w:r>
    </w:p>
    <w:p w:rsidR="00A4447C" w:rsidRDefault="00A4447C" w:rsidP="00DE7999">
      <w:pPr>
        <w:pStyle w:val="Footer"/>
        <w:jc w:val="both"/>
        <w:rPr>
          <w:rFonts w:cs="Arial"/>
          <w:b/>
          <w:color w:val="auto"/>
          <w:szCs w:val="20"/>
        </w:rPr>
      </w:pPr>
      <w:r>
        <w:rPr>
          <w:noProof/>
        </w:rPr>
        <w:drawing>
          <wp:inline distT="0" distB="0" distL="0" distR="0" wp14:anchorId="10FE7392" wp14:editId="7795855D">
            <wp:extent cx="6156325" cy="2997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156325" cy="2997200"/>
                    </a:xfrm>
                    <a:prstGeom prst="rect">
                      <a:avLst/>
                    </a:prstGeom>
                  </pic:spPr>
                </pic:pic>
              </a:graphicData>
            </a:graphic>
          </wp:inline>
        </w:drawing>
      </w:r>
    </w:p>
    <w:p w:rsidR="00897371" w:rsidRPr="005A5F23" w:rsidRDefault="00897371" w:rsidP="00DE7999">
      <w:pPr>
        <w:pStyle w:val="Footer"/>
        <w:jc w:val="both"/>
        <w:rPr>
          <w:rFonts w:cs="Arial"/>
          <w:b/>
          <w:color w:val="auto"/>
          <w:szCs w:val="20"/>
        </w:rPr>
      </w:pPr>
    </w:p>
    <w:p w:rsidR="0058757F" w:rsidRPr="002A608F" w:rsidRDefault="0058757F" w:rsidP="00626B47">
      <w:pPr>
        <w:pStyle w:val="Footer"/>
        <w:jc w:val="both"/>
        <w:rPr>
          <w:rFonts w:cs="Arial"/>
          <w:b/>
          <w:color w:val="auto"/>
          <w:szCs w:val="20"/>
        </w:rPr>
      </w:pPr>
    </w:p>
    <w:p w:rsidR="002A608F" w:rsidRPr="0069085C" w:rsidRDefault="002A608F" w:rsidP="002A608F">
      <w:pPr>
        <w:pStyle w:val="Footer"/>
        <w:jc w:val="both"/>
        <w:rPr>
          <w:rFonts w:cs="Arial"/>
          <w:b/>
          <w:color w:val="auto"/>
          <w:sz w:val="18"/>
          <w:szCs w:val="18"/>
        </w:rPr>
      </w:pPr>
      <w:r w:rsidRPr="0069085C">
        <w:rPr>
          <w:rFonts w:cs="Arial"/>
          <w:b/>
          <w:color w:val="auto"/>
          <w:sz w:val="18"/>
          <w:szCs w:val="18"/>
        </w:rPr>
        <w:t>Important Information</w:t>
      </w:r>
    </w:p>
    <w:p w:rsidR="002A608F" w:rsidRPr="0069085C" w:rsidRDefault="002A608F" w:rsidP="002A608F">
      <w:pPr>
        <w:pStyle w:val="Footer"/>
        <w:jc w:val="both"/>
        <w:rPr>
          <w:rFonts w:cs="Arial"/>
          <w:b/>
          <w:color w:val="auto"/>
          <w:sz w:val="18"/>
          <w:szCs w:val="18"/>
        </w:rPr>
      </w:pPr>
    </w:p>
    <w:p w:rsidR="002A608F" w:rsidRPr="0069085C" w:rsidRDefault="002A608F" w:rsidP="002A608F">
      <w:pPr>
        <w:rPr>
          <w:rFonts w:asciiTheme="minorHAnsi" w:hAnsiTheme="minorHAnsi"/>
          <w:sz w:val="18"/>
          <w:szCs w:val="18"/>
        </w:rPr>
      </w:pPr>
      <w:r w:rsidRPr="0069085C">
        <w:rPr>
          <w:sz w:val="18"/>
          <w:szCs w:val="18"/>
        </w:rPr>
        <w:t>This document and its contents are general in nature and do not constitute or convey personal advice.  It has been prepared without consideration of anyone's particular financial situation, needs or financial objectives.  Personal advice should be sought before acting on any of the areas discussed.  The authors and distributors of this document accept no liability for any loss or damage suffered by any person as a result of that person, or any other person, placing any reliance on the contents of this document.</w:t>
      </w:r>
    </w:p>
    <w:p w:rsidR="002A608F" w:rsidRPr="0069085C" w:rsidRDefault="002A608F" w:rsidP="002A608F">
      <w:pPr>
        <w:rPr>
          <w:sz w:val="18"/>
          <w:szCs w:val="18"/>
        </w:rPr>
      </w:pPr>
    </w:p>
    <w:p w:rsidR="002A608F" w:rsidRPr="0069085C" w:rsidRDefault="002A608F" w:rsidP="0069085C">
      <w:pPr>
        <w:rPr>
          <w:rFonts w:cs="Arial"/>
          <w:b/>
          <w:color w:val="4D4D4D"/>
          <w:sz w:val="18"/>
          <w:szCs w:val="18"/>
        </w:rPr>
      </w:pPr>
      <w:r w:rsidRPr="0069085C">
        <w:rPr>
          <w:sz w:val="18"/>
          <w:szCs w:val="18"/>
          <w:shd w:val="clear" w:color="auto" w:fill="FFFFFF"/>
        </w:rPr>
        <w:t>Moat Capital has made every reasonable effort to ensure the information provided is correct, but Moat Capital makes no representation or any warranty as to whether the information is accurate, complete or up to date.  To the extent permitted by law, Moat Capital accepts no responsibility for any errors or misstatements, negligent or otherwise.  The information provided may be based on assumptions or market conditions and may change without notice.</w:t>
      </w:r>
    </w:p>
    <w:sectPr w:rsidR="002A608F" w:rsidRPr="0069085C" w:rsidSect="0003240B">
      <w:type w:val="continuous"/>
      <w:pgSz w:w="11906" w:h="16838"/>
      <w:pgMar w:top="567" w:right="1134" w:bottom="567" w:left="1077" w:header="709" w:footer="709" w:gutter="0"/>
      <w:cols w:space="70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0F4A" w:rsidRDefault="00B80F4A" w:rsidP="002D5BD0">
      <w:r>
        <w:separator/>
      </w:r>
    </w:p>
  </w:endnote>
  <w:endnote w:type="continuationSeparator" w:id="0">
    <w:p w:rsidR="00B80F4A" w:rsidRDefault="00B80F4A" w:rsidP="002D5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0F4A" w:rsidRDefault="00B80F4A" w:rsidP="002D5BD0">
      <w:r>
        <w:separator/>
      </w:r>
    </w:p>
  </w:footnote>
  <w:footnote w:type="continuationSeparator" w:id="0">
    <w:p w:rsidR="00B80F4A" w:rsidRDefault="00B80F4A" w:rsidP="002D5B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B47"/>
    <w:rsid w:val="00001C44"/>
    <w:rsid w:val="00001E4C"/>
    <w:rsid w:val="00007CD3"/>
    <w:rsid w:val="0001010A"/>
    <w:rsid w:val="000101E9"/>
    <w:rsid w:val="00010E4A"/>
    <w:rsid w:val="00014F96"/>
    <w:rsid w:val="00021F7E"/>
    <w:rsid w:val="00023565"/>
    <w:rsid w:val="00024A6D"/>
    <w:rsid w:val="0003240B"/>
    <w:rsid w:val="00034517"/>
    <w:rsid w:val="00041767"/>
    <w:rsid w:val="000436A5"/>
    <w:rsid w:val="00044BF1"/>
    <w:rsid w:val="000504F0"/>
    <w:rsid w:val="0005403D"/>
    <w:rsid w:val="000603F8"/>
    <w:rsid w:val="00060801"/>
    <w:rsid w:val="00061CF6"/>
    <w:rsid w:val="00064181"/>
    <w:rsid w:val="00066E7E"/>
    <w:rsid w:val="00072F22"/>
    <w:rsid w:val="00080002"/>
    <w:rsid w:val="0008624F"/>
    <w:rsid w:val="00094528"/>
    <w:rsid w:val="000946CE"/>
    <w:rsid w:val="000948BD"/>
    <w:rsid w:val="00096B04"/>
    <w:rsid w:val="000C0460"/>
    <w:rsid w:val="000C68CF"/>
    <w:rsid w:val="000D1DCC"/>
    <w:rsid w:val="000D3EB8"/>
    <w:rsid w:val="000E2A9E"/>
    <w:rsid w:val="000F1652"/>
    <w:rsid w:val="000F3A52"/>
    <w:rsid w:val="000F7943"/>
    <w:rsid w:val="00100163"/>
    <w:rsid w:val="001002EA"/>
    <w:rsid w:val="00100307"/>
    <w:rsid w:val="00124018"/>
    <w:rsid w:val="001256A9"/>
    <w:rsid w:val="00125D23"/>
    <w:rsid w:val="0012735C"/>
    <w:rsid w:val="00132366"/>
    <w:rsid w:val="001356F9"/>
    <w:rsid w:val="00140258"/>
    <w:rsid w:val="00140A21"/>
    <w:rsid w:val="00141442"/>
    <w:rsid w:val="0015166E"/>
    <w:rsid w:val="00154655"/>
    <w:rsid w:val="00156ED7"/>
    <w:rsid w:val="00157A1A"/>
    <w:rsid w:val="00160F33"/>
    <w:rsid w:val="0016578F"/>
    <w:rsid w:val="0016677D"/>
    <w:rsid w:val="00172EF4"/>
    <w:rsid w:val="001937D3"/>
    <w:rsid w:val="00195111"/>
    <w:rsid w:val="001968F6"/>
    <w:rsid w:val="001A4641"/>
    <w:rsid w:val="001A4B5E"/>
    <w:rsid w:val="001A73FD"/>
    <w:rsid w:val="001B238C"/>
    <w:rsid w:val="001B40D8"/>
    <w:rsid w:val="001B4809"/>
    <w:rsid w:val="001B4E58"/>
    <w:rsid w:val="001B54E9"/>
    <w:rsid w:val="001B5ADD"/>
    <w:rsid w:val="001C2B32"/>
    <w:rsid w:val="001C5CE3"/>
    <w:rsid w:val="001C65B2"/>
    <w:rsid w:val="001C679B"/>
    <w:rsid w:val="001D24ED"/>
    <w:rsid w:val="001D349E"/>
    <w:rsid w:val="001D3870"/>
    <w:rsid w:val="001D44C8"/>
    <w:rsid w:val="001D4B82"/>
    <w:rsid w:val="001D5C79"/>
    <w:rsid w:val="001F151C"/>
    <w:rsid w:val="00210603"/>
    <w:rsid w:val="00211D3D"/>
    <w:rsid w:val="00212961"/>
    <w:rsid w:val="00214E22"/>
    <w:rsid w:val="00246A28"/>
    <w:rsid w:val="00247139"/>
    <w:rsid w:val="00253EBE"/>
    <w:rsid w:val="00255E9E"/>
    <w:rsid w:val="002579FC"/>
    <w:rsid w:val="00272F9B"/>
    <w:rsid w:val="00274E97"/>
    <w:rsid w:val="0027512F"/>
    <w:rsid w:val="002862B1"/>
    <w:rsid w:val="00286344"/>
    <w:rsid w:val="00286F94"/>
    <w:rsid w:val="00287276"/>
    <w:rsid w:val="00292215"/>
    <w:rsid w:val="002940B5"/>
    <w:rsid w:val="002A11B1"/>
    <w:rsid w:val="002A608F"/>
    <w:rsid w:val="002B3DFD"/>
    <w:rsid w:val="002B68E9"/>
    <w:rsid w:val="002C10D8"/>
    <w:rsid w:val="002C34BE"/>
    <w:rsid w:val="002C3725"/>
    <w:rsid w:val="002C681B"/>
    <w:rsid w:val="002C71F8"/>
    <w:rsid w:val="002D1FCD"/>
    <w:rsid w:val="002D27D2"/>
    <w:rsid w:val="002D5BD0"/>
    <w:rsid w:val="002D7929"/>
    <w:rsid w:val="002E5686"/>
    <w:rsid w:val="002E60A4"/>
    <w:rsid w:val="002E790A"/>
    <w:rsid w:val="003055B0"/>
    <w:rsid w:val="003112C3"/>
    <w:rsid w:val="00311E55"/>
    <w:rsid w:val="00312818"/>
    <w:rsid w:val="00312862"/>
    <w:rsid w:val="00312C38"/>
    <w:rsid w:val="00316269"/>
    <w:rsid w:val="00321C47"/>
    <w:rsid w:val="0032445B"/>
    <w:rsid w:val="003257FD"/>
    <w:rsid w:val="0032626D"/>
    <w:rsid w:val="00327894"/>
    <w:rsid w:val="00341C6F"/>
    <w:rsid w:val="0034300C"/>
    <w:rsid w:val="00343604"/>
    <w:rsid w:val="00344B54"/>
    <w:rsid w:val="00345BBC"/>
    <w:rsid w:val="0034681A"/>
    <w:rsid w:val="003473F8"/>
    <w:rsid w:val="00352455"/>
    <w:rsid w:val="00353C6B"/>
    <w:rsid w:val="00354587"/>
    <w:rsid w:val="00354D19"/>
    <w:rsid w:val="0035508B"/>
    <w:rsid w:val="00360F98"/>
    <w:rsid w:val="00364E12"/>
    <w:rsid w:val="00371B8A"/>
    <w:rsid w:val="00375636"/>
    <w:rsid w:val="0038032C"/>
    <w:rsid w:val="003830A6"/>
    <w:rsid w:val="00383EE8"/>
    <w:rsid w:val="003865C9"/>
    <w:rsid w:val="00386F43"/>
    <w:rsid w:val="0039358E"/>
    <w:rsid w:val="00393B22"/>
    <w:rsid w:val="0039579A"/>
    <w:rsid w:val="003A0F19"/>
    <w:rsid w:val="003A1AFA"/>
    <w:rsid w:val="003A7775"/>
    <w:rsid w:val="003B5474"/>
    <w:rsid w:val="003C0ECA"/>
    <w:rsid w:val="003D5CA3"/>
    <w:rsid w:val="003E0395"/>
    <w:rsid w:val="003E1F1A"/>
    <w:rsid w:val="003F0966"/>
    <w:rsid w:val="003F1622"/>
    <w:rsid w:val="003F377F"/>
    <w:rsid w:val="003F3B2C"/>
    <w:rsid w:val="003F5FA7"/>
    <w:rsid w:val="003F6D00"/>
    <w:rsid w:val="00400C3D"/>
    <w:rsid w:val="004010A0"/>
    <w:rsid w:val="00410489"/>
    <w:rsid w:val="00412A82"/>
    <w:rsid w:val="004139D6"/>
    <w:rsid w:val="00415271"/>
    <w:rsid w:val="00420937"/>
    <w:rsid w:val="004256C0"/>
    <w:rsid w:val="00426DDE"/>
    <w:rsid w:val="00442DB4"/>
    <w:rsid w:val="0044693C"/>
    <w:rsid w:val="004666C5"/>
    <w:rsid w:val="004830A5"/>
    <w:rsid w:val="0049345A"/>
    <w:rsid w:val="00493D4F"/>
    <w:rsid w:val="00495250"/>
    <w:rsid w:val="00495C59"/>
    <w:rsid w:val="004A75EB"/>
    <w:rsid w:val="004B10F4"/>
    <w:rsid w:val="004B2D44"/>
    <w:rsid w:val="004B3634"/>
    <w:rsid w:val="004B4386"/>
    <w:rsid w:val="004C01DE"/>
    <w:rsid w:val="004C0806"/>
    <w:rsid w:val="004C4AE2"/>
    <w:rsid w:val="004C710D"/>
    <w:rsid w:val="004C768B"/>
    <w:rsid w:val="004D4160"/>
    <w:rsid w:val="004D5A6E"/>
    <w:rsid w:val="004E153E"/>
    <w:rsid w:val="004E1899"/>
    <w:rsid w:val="004E50BC"/>
    <w:rsid w:val="004E7C16"/>
    <w:rsid w:val="004F0213"/>
    <w:rsid w:val="004F6FF7"/>
    <w:rsid w:val="004F7FEF"/>
    <w:rsid w:val="00510C38"/>
    <w:rsid w:val="005165AC"/>
    <w:rsid w:val="00520CDB"/>
    <w:rsid w:val="005211D0"/>
    <w:rsid w:val="00521BCA"/>
    <w:rsid w:val="005339B9"/>
    <w:rsid w:val="005348B7"/>
    <w:rsid w:val="00534E34"/>
    <w:rsid w:val="00541EA1"/>
    <w:rsid w:val="00542F0E"/>
    <w:rsid w:val="00546C56"/>
    <w:rsid w:val="00547A15"/>
    <w:rsid w:val="00550C3D"/>
    <w:rsid w:val="00551D47"/>
    <w:rsid w:val="00555463"/>
    <w:rsid w:val="00555490"/>
    <w:rsid w:val="005565B4"/>
    <w:rsid w:val="005673B8"/>
    <w:rsid w:val="00570F7C"/>
    <w:rsid w:val="00575F17"/>
    <w:rsid w:val="00576E3B"/>
    <w:rsid w:val="00584F01"/>
    <w:rsid w:val="005865C3"/>
    <w:rsid w:val="0058757F"/>
    <w:rsid w:val="005900B2"/>
    <w:rsid w:val="005A1757"/>
    <w:rsid w:val="005A1F69"/>
    <w:rsid w:val="005A39FB"/>
    <w:rsid w:val="005B322A"/>
    <w:rsid w:val="005C14C5"/>
    <w:rsid w:val="005C4540"/>
    <w:rsid w:val="005C4FBE"/>
    <w:rsid w:val="005D0F36"/>
    <w:rsid w:val="005D1FEC"/>
    <w:rsid w:val="005D226B"/>
    <w:rsid w:val="005D436C"/>
    <w:rsid w:val="005E0178"/>
    <w:rsid w:val="005E363B"/>
    <w:rsid w:val="005E3D6E"/>
    <w:rsid w:val="005F675C"/>
    <w:rsid w:val="005F745F"/>
    <w:rsid w:val="006012BA"/>
    <w:rsid w:val="006053F1"/>
    <w:rsid w:val="00606D9A"/>
    <w:rsid w:val="006079BF"/>
    <w:rsid w:val="0061543E"/>
    <w:rsid w:val="006238AE"/>
    <w:rsid w:val="00626B47"/>
    <w:rsid w:val="006325A5"/>
    <w:rsid w:val="00632EB5"/>
    <w:rsid w:val="00642E91"/>
    <w:rsid w:val="00643804"/>
    <w:rsid w:val="00646B3E"/>
    <w:rsid w:val="006527C2"/>
    <w:rsid w:val="00653FBB"/>
    <w:rsid w:val="00654039"/>
    <w:rsid w:val="0065494A"/>
    <w:rsid w:val="00661044"/>
    <w:rsid w:val="00665477"/>
    <w:rsid w:val="00682BB2"/>
    <w:rsid w:val="00684024"/>
    <w:rsid w:val="00686C4E"/>
    <w:rsid w:val="0068761B"/>
    <w:rsid w:val="006905AB"/>
    <w:rsid w:val="0069085C"/>
    <w:rsid w:val="00690FD1"/>
    <w:rsid w:val="006927EE"/>
    <w:rsid w:val="00696435"/>
    <w:rsid w:val="006A3D4B"/>
    <w:rsid w:val="006A660D"/>
    <w:rsid w:val="006A6F36"/>
    <w:rsid w:val="006B4308"/>
    <w:rsid w:val="006B46AC"/>
    <w:rsid w:val="006B595E"/>
    <w:rsid w:val="006C4EA9"/>
    <w:rsid w:val="006D0C08"/>
    <w:rsid w:val="006D222D"/>
    <w:rsid w:val="006D6E67"/>
    <w:rsid w:val="006E601B"/>
    <w:rsid w:val="006E7BF5"/>
    <w:rsid w:val="006F0ED3"/>
    <w:rsid w:val="00704317"/>
    <w:rsid w:val="007100B6"/>
    <w:rsid w:val="00711B22"/>
    <w:rsid w:val="007124D2"/>
    <w:rsid w:val="00713EB3"/>
    <w:rsid w:val="00720954"/>
    <w:rsid w:val="00730311"/>
    <w:rsid w:val="0073547D"/>
    <w:rsid w:val="00736173"/>
    <w:rsid w:val="00737540"/>
    <w:rsid w:val="00760791"/>
    <w:rsid w:val="00761D8C"/>
    <w:rsid w:val="00762740"/>
    <w:rsid w:val="00765C26"/>
    <w:rsid w:val="0076675C"/>
    <w:rsid w:val="007708B8"/>
    <w:rsid w:val="00772D1E"/>
    <w:rsid w:val="007771E0"/>
    <w:rsid w:val="00780C1B"/>
    <w:rsid w:val="00784763"/>
    <w:rsid w:val="00785F81"/>
    <w:rsid w:val="00786CE0"/>
    <w:rsid w:val="00786D85"/>
    <w:rsid w:val="007909AF"/>
    <w:rsid w:val="00790BC3"/>
    <w:rsid w:val="007A0065"/>
    <w:rsid w:val="007A44B9"/>
    <w:rsid w:val="007B4FB7"/>
    <w:rsid w:val="007C3C20"/>
    <w:rsid w:val="007C5175"/>
    <w:rsid w:val="007D08FA"/>
    <w:rsid w:val="007D5748"/>
    <w:rsid w:val="007D6CB9"/>
    <w:rsid w:val="007D702F"/>
    <w:rsid w:val="007E5573"/>
    <w:rsid w:val="007F6E0A"/>
    <w:rsid w:val="00804BFB"/>
    <w:rsid w:val="00806090"/>
    <w:rsid w:val="0081021F"/>
    <w:rsid w:val="00813FD4"/>
    <w:rsid w:val="008218BF"/>
    <w:rsid w:val="0082202F"/>
    <w:rsid w:val="00822EC4"/>
    <w:rsid w:val="00825880"/>
    <w:rsid w:val="00826960"/>
    <w:rsid w:val="008322D3"/>
    <w:rsid w:val="00833373"/>
    <w:rsid w:val="00841505"/>
    <w:rsid w:val="008442F7"/>
    <w:rsid w:val="0084744F"/>
    <w:rsid w:val="0085154A"/>
    <w:rsid w:val="00855155"/>
    <w:rsid w:val="00855563"/>
    <w:rsid w:val="00861088"/>
    <w:rsid w:val="00861110"/>
    <w:rsid w:val="00862490"/>
    <w:rsid w:val="00862C74"/>
    <w:rsid w:val="00872355"/>
    <w:rsid w:val="00883FD8"/>
    <w:rsid w:val="008845F6"/>
    <w:rsid w:val="00886D83"/>
    <w:rsid w:val="00897371"/>
    <w:rsid w:val="00897ECB"/>
    <w:rsid w:val="008B103E"/>
    <w:rsid w:val="008C02B1"/>
    <w:rsid w:val="008C36CC"/>
    <w:rsid w:val="008C6163"/>
    <w:rsid w:val="008D18D3"/>
    <w:rsid w:val="008D313A"/>
    <w:rsid w:val="008E0180"/>
    <w:rsid w:val="008E2604"/>
    <w:rsid w:val="008E3F34"/>
    <w:rsid w:val="008E411B"/>
    <w:rsid w:val="008E418F"/>
    <w:rsid w:val="008E491E"/>
    <w:rsid w:val="008E542A"/>
    <w:rsid w:val="008F3078"/>
    <w:rsid w:val="008F6797"/>
    <w:rsid w:val="0090210B"/>
    <w:rsid w:val="00903321"/>
    <w:rsid w:val="00903BCA"/>
    <w:rsid w:val="00904C42"/>
    <w:rsid w:val="00913667"/>
    <w:rsid w:val="009139BB"/>
    <w:rsid w:val="00915BE4"/>
    <w:rsid w:val="00921890"/>
    <w:rsid w:val="00921C7F"/>
    <w:rsid w:val="00922632"/>
    <w:rsid w:val="009253F4"/>
    <w:rsid w:val="0093210F"/>
    <w:rsid w:val="00932385"/>
    <w:rsid w:val="0093334D"/>
    <w:rsid w:val="00936D8C"/>
    <w:rsid w:val="00941CA6"/>
    <w:rsid w:val="00942015"/>
    <w:rsid w:val="00943717"/>
    <w:rsid w:val="0095665B"/>
    <w:rsid w:val="009642A1"/>
    <w:rsid w:val="0096698B"/>
    <w:rsid w:val="009673B9"/>
    <w:rsid w:val="00972AD3"/>
    <w:rsid w:val="00974A1F"/>
    <w:rsid w:val="00976FF4"/>
    <w:rsid w:val="009805B6"/>
    <w:rsid w:val="00984349"/>
    <w:rsid w:val="0099031C"/>
    <w:rsid w:val="00993BEF"/>
    <w:rsid w:val="009A3A23"/>
    <w:rsid w:val="009B10C7"/>
    <w:rsid w:val="009B6058"/>
    <w:rsid w:val="009B663D"/>
    <w:rsid w:val="009C0226"/>
    <w:rsid w:val="009C1D8F"/>
    <w:rsid w:val="009C2185"/>
    <w:rsid w:val="009C4889"/>
    <w:rsid w:val="009C48E9"/>
    <w:rsid w:val="009C562F"/>
    <w:rsid w:val="009C6BB7"/>
    <w:rsid w:val="009D1C35"/>
    <w:rsid w:val="009D3081"/>
    <w:rsid w:val="009D453A"/>
    <w:rsid w:val="009D50DC"/>
    <w:rsid w:val="009D7A3C"/>
    <w:rsid w:val="009E06E9"/>
    <w:rsid w:val="009E1756"/>
    <w:rsid w:val="009E2E36"/>
    <w:rsid w:val="009F26CB"/>
    <w:rsid w:val="009F6565"/>
    <w:rsid w:val="00A15B8F"/>
    <w:rsid w:val="00A2097D"/>
    <w:rsid w:val="00A212FD"/>
    <w:rsid w:val="00A3233E"/>
    <w:rsid w:val="00A33DAD"/>
    <w:rsid w:val="00A33E27"/>
    <w:rsid w:val="00A369D0"/>
    <w:rsid w:val="00A37259"/>
    <w:rsid w:val="00A37883"/>
    <w:rsid w:val="00A37A30"/>
    <w:rsid w:val="00A400E2"/>
    <w:rsid w:val="00A4447C"/>
    <w:rsid w:val="00A457F0"/>
    <w:rsid w:val="00A51621"/>
    <w:rsid w:val="00A52A2F"/>
    <w:rsid w:val="00A60859"/>
    <w:rsid w:val="00A66CED"/>
    <w:rsid w:val="00A672F4"/>
    <w:rsid w:val="00A72057"/>
    <w:rsid w:val="00A76AEF"/>
    <w:rsid w:val="00A81010"/>
    <w:rsid w:val="00A8450C"/>
    <w:rsid w:val="00A93058"/>
    <w:rsid w:val="00AA765F"/>
    <w:rsid w:val="00AB2C27"/>
    <w:rsid w:val="00AB7417"/>
    <w:rsid w:val="00AC18B1"/>
    <w:rsid w:val="00AC72F8"/>
    <w:rsid w:val="00AD7A67"/>
    <w:rsid w:val="00AE4CBC"/>
    <w:rsid w:val="00AF063D"/>
    <w:rsid w:val="00AF0688"/>
    <w:rsid w:val="00AF70DA"/>
    <w:rsid w:val="00AF7C50"/>
    <w:rsid w:val="00B0062B"/>
    <w:rsid w:val="00B06822"/>
    <w:rsid w:val="00B10DEB"/>
    <w:rsid w:val="00B142E8"/>
    <w:rsid w:val="00B17AA1"/>
    <w:rsid w:val="00B248CF"/>
    <w:rsid w:val="00B308C5"/>
    <w:rsid w:val="00B320A7"/>
    <w:rsid w:val="00B344B2"/>
    <w:rsid w:val="00B349FC"/>
    <w:rsid w:val="00B375D6"/>
    <w:rsid w:val="00B5030B"/>
    <w:rsid w:val="00B54266"/>
    <w:rsid w:val="00B632DA"/>
    <w:rsid w:val="00B74F1E"/>
    <w:rsid w:val="00B77F39"/>
    <w:rsid w:val="00B80F4A"/>
    <w:rsid w:val="00BA2F27"/>
    <w:rsid w:val="00BA48BD"/>
    <w:rsid w:val="00BA6DFA"/>
    <w:rsid w:val="00BA7042"/>
    <w:rsid w:val="00BA74B5"/>
    <w:rsid w:val="00BB03E0"/>
    <w:rsid w:val="00BB08BB"/>
    <w:rsid w:val="00BC0719"/>
    <w:rsid w:val="00BC44B2"/>
    <w:rsid w:val="00BC4CB4"/>
    <w:rsid w:val="00BD2A14"/>
    <w:rsid w:val="00BD5589"/>
    <w:rsid w:val="00BD77AC"/>
    <w:rsid w:val="00BD7A0A"/>
    <w:rsid w:val="00BE242A"/>
    <w:rsid w:val="00BE40E4"/>
    <w:rsid w:val="00BE5C48"/>
    <w:rsid w:val="00BE738D"/>
    <w:rsid w:val="00BF1EFB"/>
    <w:rsid w:val="00BF24E1"/>
    <w:rsid w:val="00BF496C"/>
    <w:rsid w:val="00BF4D26"/>
    <w:rsid w:val="00C06BCC"/>
    <w:rsid w:val="00C07C2C"/>
    <w:rsid w:val="00C119BE"/>
    <w:rsid w:val="00C11EAD"/>
    <w:rsid w:val="00C21710"/>
    <w:rsid w:val="00C2306D"/>
    <w:rsid w:val="00C24523"/>
    <w:rsid w:val="00C245B6"/>
    <w:rsid w:val="00C27767"/>
    <w:rsid w:val="00C30CE8"/>
    <w:rsid w:val="00C31DE9"/>
    <w:rsid w:val="00C375C2"/>
    <w:rsid w:val="00C37AE9"/>
    <w:rsid w:val="00C405EE"/>
    <w:rsid w:val="00C46F54"/>
    <w:rsid w:val="00C53FF4"/>
    <w:rsid w:val="00C545D5"/>
    <w:rsid w:val="00C559CF"/>
    <w:rsid w:val="00C5705C"/>
    <w:rsid w:val="00C710DA"/>
    <w:rsid w:val="00C7161C"/>
    <w:rsid w:val="00C72B1B"/>
    <w:rsid w:val="00C73785"/>
    <w:rsid w:val="00C753EF"/>
    <w:rsid w:val="00C768A8"/>
    <w:rsid w:val="00C822F7"/>
    <w:rsid w:val="00C84290"/>
    <w:rsid w:val="00C90EF7"/>
    <w:rsid w:val="00C93F54"/>
    <w:rsid w:val="00C944D6"/>
    <w:rsid w:val="00C95631"/>
    <w:rsid w:val="00C97276"/>
    <w:rsid w:val="00CA2D46"/>
    <w:rsid w:val="00CA3640"/>
    <w:rsid w:val="00CA63AA"/>
    <w:rsid w:val="00CA6869"/>
    <w:rsid w:val="00CA6E7D"/>
    <w:rsid w:val="00CB0D27"/>
    <w:rsid w:val="00CB290C"/>
    <w:rsid w:val="00CC0CEF"/>
    <w:rsid w:val="00CC5310"/>
    <w:rsid w:val="00CD0DE6"/>
    <w:rsid w:val="00CD18E1"/>
    <w:rsid w:val="00CE0D02"/>
    <w:rsid w:val="00CF5EEF"/>
    <w:rsid w:val="00CF5F97"/>
    <w:rsid w:val="00D04106"/>
    <w:rsid w:val="00D044E6"/>
    <w:rsid w:val="00D1665B"/>
    <w:rsid w:val="00D32A7C"/>
    <w:rsid w:val="00D36C93"/>
    <w:rsid w:val="00D456EB"/>
    <w:rsid w:val="00D4729D"/>
    <w:rsid w:val="00D519C4"/>
    <w:rsid w:val="00D521A8"/>
    <w:rsid w:val="00D554D3"/>
    <w:rsid w:val="00D56B20"/>
    <w:rsid w:val="00D60862"/>
    <w:rsid w:val="00D620FB"/>
    <w:rsid w:val="00D6437A"/>
    <w:rsid w:val="00D70F6F"/>
    <w:rsid w:val="00D7757C"/>
    <w:rsid w:val="00D81AAE"/>
    <w:rsid w:val="00D81DB6"/>
    <w:rsid w:val="00D8624F"/>
    <w:rsid w:val="00D86928"/>
    <w:rsid w:val="00D9122D"/>
    <w:rsid w:val="00D9164B"/>
    <w:rsid w:val="00D93995"/>
    <w:rsid w:val="00D9436D"/>
    <w:rsid w:val="00D97426"/>
    <w:rsid w:val="00DA48AB"/>
    <w:rsid w:val="00DA73AE"/>
    <w:rsid w:val="00DB34E6"/>
    <w:rsid w:val="00DB68AB"/>
    <w:rsid w:val="00DB7329"/>
    <w:rsid w:val="00DD5132"/>
    <w:rsid w:val="00DE7999"/>
    <w:rsid w:val="00DF122F"/>
    <w:rsid w:val="00DF2DDC"/>
    <w:rsid w:val="00DF3A97"/>
    <w:rsid w:val="00E001DD"/>
    <w:rsid w:val="00E10522"/>
    <w:rsid w:val="00E12244"/>
    <w:rsid w:val="00E13B4C"/>
    <w:rsid w:val="00E1798A"/>
    <w:rsid w:val="00E17EA6"/>
    <w:rsid w:val="00E23C0C"/>
    <w:rsid w:val="00E246BA"/>
    <w:rsid w:val="00E3010C"/>
    <w:rsid w:val="00E33DFC"/>
    <w:rsid w:val="00E36E5F"/>
    <w:rsid w:val="00E427BB"/>
    <w:rsid w:val="00E43BB7"/>
    <w:rsid w:val="00E457A4"/>
    <w:rsid w:val="00E545B9"/>
    <w:rsid w:val="00E57060"/>
    <w:rsid w:val="00E70AB3"/>
    <w:rsid w:val="00E71BF3"/>
    <w:rsid w:val="00E7249B"/>
    <w:rsid w:val="00E76176"/>
    <w:rsid w:val="00E77AAA"/>
    <w:rsid w:val="00E869C2"/>
    <w:rsid w:val="00E90D80"/>
    <w:rsid w:val="00E92E34"/>
    <w:rsid w:val="00E93F6C"/>
    <w:rsid w:val="00E96A8D"/>
    <w:rsid w:val="00E9745C"/>
    <w:rsid w:val="00EA161C"/>
    <w:rsid w:val="00EA3F96"/>
    <w:rsid w:val="00EA4151"/>
    <w:rsid w:val="00EA786B"/>
    <w:rsid w:val="00EB154D"/>
    <w:rsid w:val="00EB1590"/>
    <w:rsid w:val="00EB3DA7"/>
    <w:rsid w:val="00EB6C50"/>
    <w:rsid w:val="00EC02C0"/>
    <w:rsid w:val="00EC64CA"/>
    <w:rsid w:val="00EC6D2E"/>
    <w:rsid w:val="00ED215F"/>
    <w:rsid w:val="00ED3955"/>
    <w:rsid w:val="00ED44D4"/>
    <w:rsid w:val="00EE171E"/>
    <w:rsid w:val="00EF3B56"/>
    <w:rsid w:val="00F11D8A"/>
    <w:rsid w:val="00F139FF"/>
    <w:rsid w:val="00F14E96"/>
    <w:rsid w:val="00F20294"/>
    <w:rsid w:val="00F21939"/>
    <w:rsid w:val="00F4037A"/>
    <w:rsid w:val="00F420E7"/>
    <w:rsid w:val="00F513ED"/>
    <w:rsid w:val="00F57522"/>
    <w:rsid w:val="00F60BB6"/>
    <w:rsid w:val="00F61E2C"/>
    <w:rsid w:val="00F70003"/>
    <w:rsid w:val="00F71FE6"/>
    <w:rsid w:val="00F73FC2"/>
    <w:rsid w:val="00F869F8"/>
    <w:rsid w:val="00F87F65"/>
    <w:rsid w:val="00F91D11"/>
    <w:rsid w:val="00F97698"/>
    <w:rsid w:val="00FB1A69"/>
    <w:rsid w:val="00FB382B"/>
    <w:rsid w:val="00FB5AC2"/>
    <w:rsid w:val="00FB5F5C"/>
    <w:rsid w:val="00FC1E2F"/>
    <w:rsid w:val="00FD27F8"/>
    <w:rsid w:val="00FD4439"/>
    <w:rsid w:val="00FF0B97"/>
    <w:rsid w:val="00FF5AB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34B2BA"/>
  <w15:chartTrackingRefBased/>
  <w15:docId w15:val="{279DA1B3-51B7-4526-AB0E-103A6B93C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B7417"/>
    <w:rPr>
      <w:rFonts w:ascii="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272F9B"/>
    <w:pPr>
      <w:tabs>
        <w:tab w:val="center" w:pos="4680"/>
        <w:tab w:val="right" w:pos="9360"/>
      </w:tabs>
      <w:spacing w:before="40"/>
    </w:pPr>
    <w:rPr>
      <w:rFonts w:asciiTheme="minorHAnsi" w:eastAsiaTheme="minorEastAsia" w:hAnsiTheme="minorHAnsi" w:cstheme="minorBidi"/>
      <w:color w:val="595959" w:themeColor="text1" w:themeTint="A6"/>
      <w:sz w:val="20"/>
      <w:szCs w:val="24"/>
      <w:lang w:val="en-US"/>
    </w:rPr>
  </w:style>
  <w:style w:type="character" w:customStyle="1" w:styleId="FooterChar">
    <w:name w:val="Footer Char"/>
    <w:basedOn w:val="DefaultParagraphFont"/>
    <w:link w:val="Footer"/>
    <w:uiPriority w:val="99"/>
    <w:rsid w:val="00272F9B"/>
    <w:rPr>
      <w:rFonts w:asciiTheme="minorHAnsi" w:eastAsiaTheme="minorEastAsia" w:hAnsiTheme="minorHAnsi" w:cstheme="minorBidi"/>
      <w:color w:val="595959" w:themeColor="text1" w:themeTint="A6"/>
      <w:szCs w:val="24"/>
      <w:lang w:val="en-US" w:eastAsia="en-US"/>
    </w:rPr>
  </w:style>
  <w:style w:type="paragraph" w:styleId="Header">
    <w:name w:val="header"/>
    <w:basedOn w:val="Normal"/>
    <w:link w:val="HeaderChar"/>
    <w:uiPriority w:val="99"/>
    <w:rsid w:val="002D5BD0"/>
    <w:pPr>
      <w:tabs>
        <w:tab w:val="center" w:pos="4513"/>
        <w:tab w:val="right" w:pos="9026"/>
      </w:tabs>
    </w:pPr>
  </w:style>
  <w:style w:type="character" w:customStyle="1" w:styleId="HeaderChar">
    <w:name w:val="Header Char"/>
    <w:basedOn w:val="DefaultParagraphFont"/>
    <w:link w:val="Header"/>
    <w:uiPriority w:val="99"/>
    <w:rsid w:val="002D5BD0"/>
    <w:rPr>
      <w:rFonts w:ascii="Calibri" w:hAnsi="Calibri"/>
      <w:sz w:val="22"/>
      <w:szCs w:val="22"/>
      <w:lang w:eastAsia="en-US"/>
    </w:rPr>
  </w:style>
  <w:style w:type="table" w:styleId="TableGrid">
    <w:name w:val="Table Grid"/>
    <w:basedOn w:val="TableNormal"/>
    <w:rsid w:val="006908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7D6CB9"/>
    <w:rPr>
      <w:rFonts w:eastAsiaTheme="minorHAnsi" w:cs="Consolas"/>
      <w:szCs w:val="21"/>
    </w:rPr>
  </w:style>
  <w:style w:type="character" w:customStyle="1" w:styleId="PlainTextChar">
    <w:name w:val="Plain Text Char"/>
    <w:basedOn w:val="DefaultParagraphFont"/>
    <w:link w:val="PlainText"/>
    <w:uiPriority w:val="99"/>
    <w:rsid w:val="007D6CB9"/>
    <w:rPr>
      <w:rFonts w:ascii="Calibri" w:eastAsiaTheme="minorHAnsi" w:hAnsi="Calibri" w:cs="Consolas"/>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26328">
      <w:bodyDiv w:val="1"/>
      <w:marLeft w:val="0"/>
      <w:marRight w:val="0"/>
      <w:marTop w:val="0"/>
      <w:marBottom w:val="0"/>
      <w:divBdr>
        <w:top w:val="none" w:sz="0" w:space="0" w:color="auto"/>
        <w:left w:val="none" w:sz="0" w:space="0" w:color="auto"/>
        <w:bottom w:val="none" w:sz="0" w:space="0" w:color="auto"/>
        <w:right w:val="none" w:sz="0" w:space="0" w:color="auto"/>
      </w:divBdr>
    </w:div>
    <w:div w:id="1039011000">
      <w:bodyDiv w:val="1"/>
      <w:marLeft w:val="0"/>
      <w:marRight w:val="0"/>
      <w:marTop w:val="0"/>
      <w:marBottom w:val="0"/>
      <w:divBdr>
        <w:top w:val="none" w:sz="0" w:space="0" w:color="auto"/>
        <w:left w:val="none" w:sz="0" w:space="0" w:color="auto"/>
        <w:bottom w:val="none" w:sz="0" w:space="0" w:color="auto"/>
        <w:right w:val="none" w:sz="0" w:space="0" w:color="auto"/>
      </w:divBdr>
    </w:div>
    <w:div w:id="1087769209">
      <w:bodyDiv w:val="1"/>
      <w:marLeft w:val="0"/>
      <w:marRight w:val="0"/>
      <w:marTop w:val="0"/>
      <w:marBottom w:val="0"/>
      <w:divBdr>
        <w:top w:val="none" w:sz="0" w:space="0" w:color="auto"/>
        <w:left w:val="none" w:sz="0" w:space="0" w:color="auto"/>
        <w:bottom w:val="none" w:sz="0" w:space="0" w:color="auto"/>
        <w:right w:val="none" w:sz="0" w:space="0" w:color="auto"/>
      </w:divBdr>
    </w:div>
    <w:div w:id="1194339956">
      <w:bodyDiv w:val="1"/>
      <w:marLeft w:val="0"/>
      <w:marRight w:val="0"/>
      <w:marTop w:val="0"/>
      <w:marBottom w:val="0"/>
      <w:divBdr>
        <w:top w:val="none" w:sz="0" w:space="0" w:color="auto"/>
        <w:left w:val="none" w:sz="0" w:space="0" w:color="auto"/>
        <w:bottom w:val="none" w:sz="0" w:space="0" w:color="auto"/>
        <w:right w:val="none" w:sz="0" w:space="0" w:color="auto"/>
      </w:divBdr>
    </w:div>
    <w:div w:id="1297023935">
      <w:bodyDiv w:val="1"/>
      <w:marLeft w:val="0"/>
      <w:marRight w:val="0"/>
      <w:marTop w:val="0"/>
      <w:marBottom w:val="0"/>
      <w:divBdr>
        <w:top w:val="none" w:sz="0" w:space="0" w:color="auto"/>
        <w:left w:val="none" w:sz="0" w:space="0" w:color="auto"/>
        <w:bottom w:val="none" w:sz="0" w:space="0" w:color="auto"/>
        <w:right w:val="none" w:sz="0" w:space="0" w:color="auto"/>
      </w:divBdr>
    </w:div>
    <w:div w:id="1418790077">
      <w:bodyDiv w:val="1"/>
      <w:marLeft w:val="0"/>
      <w:marRight w:val="0"/>
      <w:marTop w:val="0"/>
      <w:marBottom w:val="0"/>
      <w:divBdr>
        <w:top w:val="none" w:sz="0" w:space="0" w:color="auto"/>
        <w:left w:val="none" w:sz="0" w:space="0" w:color="auto"/>
        <w:bottom w:val="none" w:sz="0" w:space="0" w:color="auto"/>
        <w:right w:val="none" w:sz="0" w:space="0" w:color="auto"/>
      </w:divBdr>
    </w:div>
    <w:div w:id="1481145256">
      <w:bodyDiv w:val="1"/>
      <w:marLeft w:val="0"/>
      <w:marRight w:val="0"/>
      <w:marTop w:val="0"/>
      <w:marBottom w:val="0"/>
      <w:divBdr>
        <w:top w:val="none" w:sz="0" w:space="0" w:color="auto"/>
        <w:left w:val="none" w:sz="0" w:space="0" w:color="auto"/>
        <w:bottom w:val="none" w:sz="0" w:space="0" w:color="auto"/>
        <w:right w:val="none" w:sz="0" w:space="0" w:color="auto"/>
      </w:divBdr>
    </w:div>
    <w:div w:id="1740907180">
      <w:bodyDiv w:val="1"/>
      <w:marLeft w:val="0"/>
      <w:marRight w:val="0"/>
      <w:marTop w:val="0"/>
      <w:marBottom w:val="0"/>
      <w:divBdr>
        <w:top w:val="none" w:sz="0" w:space="0" w:color="auto"/>
        <w:left w:val="none" w:sz="0" w:space="0" w:color="auto"/>
        <w:bottom w:val="none" w:sz="0" w:space="0" w:color="auto"/>
        <w:right w:val="none" w:sz="0" w:space="0" w:color="auto"/>
      </w:divBdr>
    </w:div>
    <w:div w:id="1891845828">
      <w:bodyDiv w:val="1"/>
      <w:marLeft w:val="0"/>
      <w:marRight w:val="0"/>
      <w:marTop w:val="0"/>
      <w:marBottom w:val="0"/>
      <w:divBdr>
        <w:top w:val="none" w:sz="0" w:space="0" w:color="auto"/>
        <w:left w:val="none" w:sz="0" w:space="0" w:color="auto"/>
        <w:bottom w:val="none" w:sz="0" w:space="0" w:color="auto"/>
        <w:right w:val="none" w:sz="0" w:space="0" w:color="auto"/>
      </w:divBdr>
    </w:div>
    <w:div w:id="1979726147">
      <w:bodyDiv w:val="1"/>
      <w:marLeft w:val="0"/>
      <w:marRight w:val="0"/>
      <w:marTop w:val="0"/>
      <w:marBottom w:val="0"/>
      <w:divBdr>
        <w:top w:val="none" w:sz="0" w:space="0" w:color="auto"/>
        <w:left w:val="none" w:sz="0" w:space="0" w:color="auto"/>
        <w:bottom w:val="none" w:sz="0" w:space="0" w:color="auto"/>
        <w:right w:val="none" w:sz="0" w:space="0" w:color="auto"/>
      </w:divBdr>
    </w:div>
    <w:div w:id="1994404133">
      <w:bodyDiv w:val="1"/>
      <w:marLeft w:val="0"/>
      <w:marRight w:val="0"/>
      <w:marTop w:val="0"/>
      <w:marBottom w:val="0"/>
      <w:divBdr>
        <w:top w:val="none" w:sz="0" w:space="0" w:color="auto"/>
        <w:left w:val="none" w:sz="0" w:space="0" w:color="auto"/>
        <w:bottom w:val="none" w:sz="0" w:space="0" w:color="auto"/>
        <w:right w:val="none" w:sz="0" w:space="0" w:color="auto"/>
      </w:divBdr>
    </w:div>
    <w:div w:id="2059084099">
      <w:bodyDiv w:val="1"/>
      <w:marLeft w:val="0"/>
      <w:marRight w:val="0"/>
      <w:marTop w:val="0"/>
      <w:marBottom w:val="0"/>
      <w:divBdr>
        <w:top w:val="none" w:sz="0" w:space="0" w:color="auto"/>
        <w:left w:val="none" w:sz="0" w:space="0" w:color="auto"/>
        <w:bottom w:val="none" w:sz="0" w:space="0" w:color="auto"/>
        <w:right w:val="none" w:sz="0" w:space="0" w:color="auto"/>
      </w:divBdr>
    </w:div>
    <w:div w:id="2104065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Sentinel%20PW\Research\Analysis\Portfolio%20Multi\2015%20December\15-12-30%20Multi%20Asset%20Portfolio%20Analysis%20-%20Buy%20IOZ%20NDQ%20IVV%20VGS%20RGB%20NCM%20IAF%20NST%20SPY%20BOND%20VIF%20STW%20VAF.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80D869-ED91-43D9-96A1-A70F1EFAC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15-12-30 Multi Asset Portfolio Analysis - Buy IOZ NDQ IVV VGS RGB NCM IAF NST SPY BOND VIF STW VAF.dotx</Template>
  <TotalTime>47</TotalTime>
  <Pages>3</Pages>
  <Words>568</Words>
  <Characters>3239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Craig Parker</cp:lastModifiedBy>
  <cp:revision>16</cp:revision>
  <cp:lastPrinted>2016-08-08T02:37:00Z</cp:lastPrinted>
  <dcterms:created xsi:type="dcterms:W3CDTF">2017-08-26T02:12:00Z</dcterms:created>
  <dcterms:modified xsi:type="dcterms:W3CDTF">2017-08-26T03:01:00Z</dcterms:modified>
</cp:coreProperties>
</file>